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4 maggio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Comunicazione n. 13/2021/C.1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521/C.1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Cari Colleghi, Care Colleghe,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vi trasmetto, in allegato alla presente una importante nota relativa alla "Campagna vaccinale per i farmacisti: ulteriori sedute vaccinali".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Con l'occasione e con riferimento a quanto già riportato nella precedente circolare, così come per i tirocinanati non vaccinati l'accesso in farmacia non è al momento ipotizzabile, anche tutte le richieste di accoglienza, sempre in farmacia, di studenti delle scuole superiori nell'ambito del progetto "</w:t>
      </w:r>
      <w:r w:rsidDel="00000000" w:rsidR="00000000" w:rsidRPr="00000000">
        <w:rPr>
          <w:b w:val="1"/>
          <w:rtl w:val="0"/>
        </w:rPr>
        <w:t xml:space="preserve">Alternanza Scuola Lavoro",</w:t>
      </w:r>
      <w:r w:rsidDel="00000000" w:rsidR="00000000" w:rsidRPr="00000000">
        <w:rPr>
          <w:rtl w:val="0"/>
        </w:rPr>
        <w:t xml:space="preserve"> sono da rifiutare, per lo meno fino a che anche quella fascia di età non potrà essere vaccinata.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 Sovraintendenza scolastica informerà in proposito i vari istituti scolastici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Un cordiale saluto.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