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Trento, 24 giugno 2020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Circolare n. 25/2020/C.1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Cari colleghi,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riceviamo oggi dalla FOFI questa circolare che riprende e presenta il Decreto del Presidente del Consiglio dei Ministri dell’11 giugno u.s.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Si danno una serie di disposizioni in merito alla cosiddetta “ripartenza”, inclusi suggerimenti in merito all’attività delle farmacie. Ne consigliamo un’attenta lettura.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Inoltriamo anche la circolare con cui la FOFI comunica che la Commissione Nazionale per la Formazione Continua, in considerazione del periodo emergenziale COVID-19, ha approvato una delibera per cui vengono considerati già acquisiti da TUTTI i farmacisti 50 crediti ECM, pari a 1/3 del debito formativo triennale. La norma, è stato richiesto, verrà inserita nel primo provvedimento normativo utile.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Cordiali saluti,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Bruno Bizzaro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